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BA" w:rsidRDefault="00C427BA" w:rsidP="0084023B">
      <w:pPr>
        <w:ind w:firstLine="720"/>
        <w:jc w:val="both"/>
      </w:pPr>
      <w:bookmarkStart w:id="0" w:name="_GoBack"/>
      <w:bookmarkEnd w:id="0"/>
    </w:p>
    <w:p w:rsidR="00574A1E" w:rsidRPr="00485BD7" w:rsidRDefault="00485BD7" w:rsidP="00485BD7">
      <w:pPr>
        <w:ind w:firstLine="567"/>
        <w:jc w:val="center"/>
        <w:rPr>
          <w:b/>
        </w:rPr>
      </w:pPr>
      <w:r w:rsidRPr="00485BD7">
        <w:rPr>
          <w:b/>
        </w:rPr>
        <w:t>К сведению управляющих компаний и населения г. Холмска</w:t>
      </w:r>
    </w:p>
    <w:p w:rsidR="00574A1E" w:rsidRDefault="00574A1E" w:rsidP="004A4F03">
      <w:pPr>
        <w:ind w:firstLine="567"/>
      </w:pPr>
    </w:p>
    <w:p w:rsidR="004A4F03" w:rsidRDefault="004A4F03" w:rsidP="00485BD7">
      <w:pPr>
        <w:ind w:firstLine="567"/>
        <w:jc w:val="both"/>
        <w:rPr>
          <w:bCs/>
          <w:sz w:val="22"/>
          <w:szCs w:val="22"/>
        </w:rPr>
      </w:pPr>
      <w:r>
        <w:t xml:space="preserve">В </w:t>
      </w:r>
      <w:r w:rsidRPr="00B91665">
        <w:rPr>
          <w:color w:val="000000"/>
          <w:sz w:val="22"/>
          <w:szCs w:val="22"/>
        </w:rPr>
        <w:t xml:space="preserve">соответствии с требованиями статьи 12 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Госстроя Российской Федерации от 27.09.2003 № 170 «Об утверждении Правил и норм технической эксплуатации </w:t>
      </w:r>
      <w:r>
        <w:rPr>
          <w:color w:val="000000"/>
          <w:sz w:val="22"/>
          <w:szCs w:val="22"/>
        </w:rPr>
        <w:t xml:space="preserve">жилищного фонда», приказом Минэкономразвития РФ от 02.09.2010 г № 394 «Об утверждении примерной формы перечня мероприятий для многоквартирного дома как в отношении общего имущества собственников помещений в многоквартирном дома,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</w:t>
      </w:r>
      <w:r w:rsidRPr="00B91665">
        <w:rPr>
          <w:color w:val="000000"/>
          <w:sz w:val="22"/>
          <w:szCs w:val="22"/>
        </w:rPr>
        <w:t>предлагаем Вам перечень</w:t>
      </w:r>
      <w:r w:rsidRPr="00B91665">
        <w:rPr>
          <w:bCs/>
          <w:sz w:val="22"/>
          <w:szCs w:val="22"/>
        </w:rPr>
        <w:t xml:space="preserve"> обязательных мероприятий по энергосбережению и повышению эффективности в отношении общего имущества собственников помещений в многоквартирном доме. </w:t>
      </w:r>
    </w:p>
    <w:p w:rsidR="00574A1E" w:rsidRPr="00B91665" w:rsidRDefault="00574A1E" w:rsidP="00485BD7">
      <w:pPr>
        <w:ind w:firstLine="567"/>
        <w:jc w:val="both"/>
        <w:rPr>
          <w:sz w:val="22"/>
          <w:szCs w:val="22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"/>
        <w:gridCol w:w="3665"/>
        <w:gridCol w:w="2967"/>
        <w:gridCol w:w="12"/>
        <w:gridCol w:w="2130"/>
      </w:tblGrid>
      <w:tr w:rsidR="004A4F03" w:rsidRPr="00C27074" w:rsidTr="009567EB">
        <w:trPr>
          <w:trHeight w:val="630"/>
          <w:tblHeader/>
        </w:trPr>
        <w:tc>
          <w:tcPr>
            <w:tcW w:w="619" w:type="pct"/>
            <w:shd w:val="clear" w:color="auto" w:fill="auto"/>
            <w:vAlign w:val="center"/>
          </w:tcPr>
          <w:p w:rsidR="004A4F03" w:rsidRPr="00C27074" w:rsidRDefault="004A4F03" w:rsidP="009567EB">
            <w:pPr>
              <w:jc w:val="center"/>
              <w:rPr>
                <w:b/>
                <w:bCs/>
                <w:sz w:val="20"/>
                <w:szCs w:val="20"/>
              </w:rPr>
            </w:pPr>
            <w:r w:rsidRPr="00C27074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:rsidR="004A4F03" w:rsidRPr="00C27074" w:rsidRDefault="004A4F03" w:rsidP="009567EB">
            <w:pPr>
              <w:jc w:val="center"/>
              <w:rPr>
                <w:b/>
                <w:bCs/>
                <w:sz w:val="20"/>
                <w:szCs w:val="20"/>
              </w:rPr>
            </w:pPr>
            <w:r w:rsidRPr="00C27074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84" w:type="pct"/>
            <w:gridSpan w:val="2"/>
            <w:shd w:val="clear" w:color="auto" w:fill="auto"/>
            <w:vAlign w:val="center"/>
          </w:tcPr>
          <w:p w:rsidR="004A4F03" w:rsidRPr="00C27074" w:rsidRDefault="004A4F03" w:rsidP="009567EB">
            <w:pPr>
              <w:jc w:val="center"/>
              <w:rPr>
                <w:b/>
                <w:bCs/>
                <w:sz w:val="20"/>
                <w:szCs w:val="20"/>
              </w:rPr>
            </w:pPr>
            <w:r w:rsidRPr="00C27074">
              <w:rPr>
                <w:b/>
                <w:bCs/>
                <w:sz w:val="20"/>
                <w:szCs w:val="20"/>
              </w:rPr>
              <w:t xml:space="preserve">Цель мероприятия 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4A4F03" w:rsidRPr="00B91665" w:rsidRDefault="004A4F03" w:rsidP="009567EB">
            <w:pPr>
              <w:jc w:val="center"/>
              <w:rPr>
                <w:b/>
                <w:bCs/>
                <w:sz w:val="16"/>
                <w:szCs w:val="16"/>
              </w:rPr>
            </w:pPr>
            <w:r w:rsidRPr="00B91665">
              <w:rPr>
                <w:b/>
                <w:bCs/>
                <w:sz w:val="16"/>
                <w:szCs w:val="16"/>
              </w:rPr>
              <w:t>Применяемые технологии, оборудование и материалы</w:t>
            </w:r>
          </w:p>
        </w:tc>
      </w:tr>
      <w:tr w:rsidR="004A4F03" w:rsidRPr="008421A8" w:rsidTr="009567EB">
        <w:trPr>
          <w:trHeight w:val="860"/>
        </w:trPr>
        <w:tc>
          <w:tcPr>
            <w:tcW w:w="629" w:type="pct"/>
            <w:gridSpan w:val="2"/>
            <w:vMerge w:val="restart"/>
            <w:shd w:val="clear" w:color="auto" w:fill="auto"/>
          </w:tcPr>
          <w:p w:rsidR="004A4F03" w:rsidRPr="00485BD7" w:rsidRDefault="004A4F03" w:rsidP="009567EB">
            <w:pPr>
              <w:numPr>
                <w:ilvl w:val="0"/>
                <w:numId w:val="1"/>
              </w:numPr>
              <w:jc w:val="center"/>
              <w:rPr>
                <w:rStyle w:val="a3"/>
                <w:b w:val="0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 w:val="restart"/>
            <w:shd w:val="clear" w:color="auto" w:fill="auto"/>
          </w:tcPr>
          <w:p w:rsidR="004A4F03" w:rsidRPr="00CB118D" w:rsidRDefault="004A4F03" w:rsidP="009567EB">
            <w:pPr>
              <w:rPr>
                <w:rStyle w:val="a3"/>
                <w:b w:val="0"/>
                <w:i w:val="0"/>
                <w:color w:val="000000"/>
                <w:sz w:val="20"/>
                <w:szCs w:val="20"/>
              </w:rPr>
            </w:pPr>
            <w:r w:rsidRPr="00CB118D">
              <w:rPr>
                <w:rStyle w:val="a3"/>
                <w:b w:val="0"/>
                <w:i w:val="0"/>
                <w:color w:val="000000"/>
                <w:sz w:val="20"/>
                <w:szCs w:val="20"/>
              </w:rPr>
              <w:t>Установка линейных балансировочных вентилей и балансировка (регулировка) системы отопления. Демонтаж водоразборных кранов. Присоединение приборов отопления (по стоякам) согласно проектной документации (восстановление перемычек). Восстановление полотенцесушителей.</w:t>
            </w:r>
          </w:p>
        </w:tc>
        <w:tc>
          <w:tcPr>
            <w:tcW w:w="1478" w:type="pct"/>
            <w:vMerge w:val="restart"/>
            <w:shd w:val="clear" w:color="auto" w:fill="auto"/>
          </w:tcPr>
          <w:p w:rsidR="004A4F03" w:rsidRPr="00CB118D" w:rsidRDefault="004A4F03" w:rsidP="009567EB">
            <w:pPr>
              <w:rPr>
                <w:rStyle w:val="a3"/>
                <w:b w:val="0"/>
                <w:i w:val="0"/>
                <w:color w:val="000000"/>
                <w:sz w:val="20"/>
                <w:szCs w:val="20"/>
              </w:rPr>
            </w:pPr>
            <w:r w:rsidRPr="00CB118D">
              <w:rPr>
                <w:rStyle w:val="a3"/>
                <w:b w:val="0"/>
                <w:i w:val="0"/>
                <w:color w:val="000000"/>
                <w:sz w:val="20"/>
                <w:szCs w:val="20"/>
              </w:rPr>
              <w:t>1) Рациональное использование тепловой энергии;</w:t>
            </w:r>
          </w:p>
          <w:p w:rsidR="004A4F03" w:rsidRPr="00CB118D" w:rsidRDefault="004A4F03" w:rsidP="009567EB">
            <w:pPr>
              <w:rPr>
                <w:rStyle w:val="a3"/>
                <w:b w:val="0"/>
                <w:i w:val="0"/>
                <w:color w:val="000000"/>
                <w:sz w:val="20"/>
                <w:szCs w:val="20"/>
              </w:rPr>
            </w:pPr>
            <w:r w:rsidRPr="00CB118D">
              <w:rPr>
                <w:rStyle w:val="a3"/>
                <w:b w:val="0"/>
                <w:i w:val="0"/>
                <w:color w:val="000000"/>
                <w:sz w:val="20"/>
                <w:szCs w:val="20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1067" w:type="pct"/>
            <w:gridSpan w:val="2"/>
            <w:vMerge w:val="restart"/>
            <w:shd w:val="clear" w:color="auto" w:fill="auto"/>
          </w:tcPr>
          <w:p w:rsidR="004A4F03" w:rsidRPr="00CB118D" w:rsidRDefault="004A4F03" w:rsidP="009567EB">
            <w:pPr>
              <w:rPr>
                <w:rStyle w:val="a3"/>
                <w:b w:val="0"/>
                <w:i w:val="0"/>
                <w:color w:val="000000"/>
                <w:sz w:val="20"/>
                <w:szCs w:val="20"/>
              </w:rPr>
            </w:pPr>
            <w:r w:rsidRPr="00CB118D">
              <w:rPr>
                <w:rStyle w:val="a3"/>
                <w:b w:val="0"/>
                <w:i w:val="0"/>
                <w:color w:val="000000"/>
                <w:sz w:val="20"/>
                <w:szCs w:val="20"/>
              </w:rPr>
              <w:t>Балансировочные вентили, запорные вентили, воздуховыпускные клапаны</w:t>
            </w:r>
          </w:p>
        </w:tc>
      </w:tr>
      <w:tr w:rsidR="004A4F03" w:rsidRPr="00C27074" w:rsidTr="009567EB">
        <w:trPr>
          <w:trHeight w:val="424"/>
        </w:trPr>
        <w:tc>
          <w:tcPr>
            <w:tcW w:w="629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637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Экономия потребления тепловой энергии в системе отопления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Промывочные машины и реагенты</w:t>
            </w:r>
          </w:p>
        </w:tc>
      </w:tr>
      <w:tr w:rsidR="004A4F03" w:rsidRPr="00C27074" w:rsidTr="009567EB">
        <w:trPr>
          <w:trHeight w:val="245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501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Экономия потребления тепловой энергии в системе отопления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Современные теплоизоляционные материалы в виде скорлуп и цилиндров</w:t>
            </w:r>
          </w:p>
        </w:tc>
      </w:tr>
      <w:tr w:rsidR="004A4F03" w:rsidRPr="00C27074" w:rsidTr="009567EB">
        <w:trPr>
          <w:trHeight w:val="264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149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Замена трубопроводов и арматуры системы отопления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Увеличение срока эксплуатации трубопроводов;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Снижение утечек воды;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Снижение числа аварий;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4)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5) Экономия потребления тепловой энергии в системе отопления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Современные предизолированные трубопроводы, арматура</w:t>
            </w:r>
          </w:p>
        </w:tc>
      </w:tr>
      <w:tr w:rsidR="004A4F03" w:rsidRPr="00C27074" w:rsidTr="009567EB">
        <w:trPr>
          <w:trHeight w:val="86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513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Установка термостатических вентилей на радиаторах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Повышение температурного комфорта в помещениях;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Экономия тепловой энергии в системе отопления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Термостатические радиаторные вентили</w:t>
            </w:r>
          </w:p>
        </w:tc>
      </w:tr>
      <w:tr w:rsidR="004A4F03" w:rsidRPr="00C27074" w:rsidTr="009567EB">
        <w:trPr>
          <w:trHeight w:val="512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893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Поддержание температурного режима в помещениях (устранение переторов);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Экономия тепловой энергии в системе отопления;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Упрочение эксплуатации радиаторов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Шаровые запорные радиаторные вентили</w:t>
            </w:r>
          </w:p>
        </w:tc>
      </w:tr>
      <w:tr w:rsidR="004A4F03" w:rsidRPr="00C27074" w:rsidTr="009567EB">
        <w:trPr>
          <w:trHeight w:val="293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493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 xml:space="preserve">Ремонт изоляции теплообменников и трубопроводов системы горячего </w:t>
            </w:r>
            <w:r w:rsidRPr="00C27074">
              <w:rPr>
                <w:sz w:val="20"/>
                <w:szCs w:val="20"/>
              </w:rPr>
              <w:lastRenderedPageBreak/>
              <w:t>водоснабжения (далее – ГВС) в подвальных помещениях с применением энергоэффективных материалов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lastRenderedPageBreak/>
              <w:t>1)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lastRenderedPageBreak/>
              <w:t>2) Экономия потребления тепловой энергии и воды в системе ГВС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lastRenderedPageBreak/>
              <w:t xml:space="preserve">Современные теплоизоляционные </w:t>
            </w:r>
            <w:r w:rsidRPr="00C27074">
              <w:rPr>
                <w:sz w:val="20"/>
                <w:szCs w:val="20"/>
              </w:rPr>
              <w:lastRenderedPageBreak/>
              <w:t>материалы в виде скорлуп и цилиндров</w:t>
            </w:r>
          </w:p>
        </w:tc>
      </w:tr>
      <w:tr w:rsidR="004A4F03" w:rsidRPr="00C27074" w:rsidTr="009567EB">
        <w:trPr>
          <w:trHeight w:val="1149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149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Замена трубопроводов и арматуры системы ГВС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Увеличение срока эксплуатации трубопроводов;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Снижение утечек воды;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Снижение числа аварий;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4) Рациональное использование тепловой энергии и воды;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5) Экономия потребления тепловой энергии и воды в системе ГВС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Современные пластиковые трубопроводы, арматура</w:t>
            </w:r>
          </w:p>
        </w:tc>
      </w:tr>
      <w:tr w:rsidR="004A4F03" w:rsidRPr="00C27074" w:rsidTr="009567EB">
        <w:trPr>
          <w:trHeight w:val="644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018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Замена трубопроводов и арматуры системы холодного водоснабжения (далее - ХВС)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Увеличение срока эксплуатации трубопроводов;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Снижение утечек воды;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Снижение числа аварий;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4) Рациональное использование воды;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5) Экономия потребления воды в системе ХВС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Современные пластиковые трубопроводы, арматура</w:t>
            </w: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469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Снижение утечек тепла через двери подъездов;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Усиление безопасности жителей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513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Заделка и уплотнение оконных блоков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Снижение инфильтрации через оконные блоки;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Рациональное использование тепловой энергии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Прокладки, полиуретановая пена и др.</w:t>
            </w: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893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Утепление потолка подвала</w:t>
            </w:r>
            <w:r>
              <w:rPr>
                <w:sz w:val="20"/>
                <w:szCs w:val="20"/>
              </w:rPr>
              <w:t>, установка дверей и заслонок в проемах подвальных помещений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Уменьшение охлаждения или промерзания потолка технического подвала;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Увеличение срока службы строительных конструкций</w:t>
            </w:r>
            <w:r>
              <w:rPr>
                <w:sz w:val="20"/>
                <w:szCs w:val="20"/>
              </w:rPr>
              <w:t>, инженерных сетей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Тепло-, водо- и пароизоляционные материалы и др.</w:t>
            </w:r>
          </w:p>
        </w:tc>
      </w:tr>
      <w:tr w:rsidR="004A4F03" w:rsidRPr="00C27074" w:rsidTr="009567EB">
        <w:trPr>
          <w:trHeight w:val="893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018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Уменьшение сквозняков, протечек, промерзания, продувания, образования грибков;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Увеличение срока службы стеновых конструкций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Технология "Теплый шов";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Герметик, теплоизоляционные прокладки, мастика и др.</w:t>
            </w:r>
          </w:p>
        </w:tc>
      </w:tr>
      <w:tr w:rsidR="004A4F03" w:rsidRPr="00C27074" w:rsidTr="009567EB">
        <w:trPr>
          <w:trHeight w:val="281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692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Утепление наружных стен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1) Уменьшение промерзания стен;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2) Рациональное использование тепловой энергии;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>3) Увеличение срока службы стеновых конструкций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 w:rsidRPr="00C27074">
              <w:rPr>
                <w:sz w:val="20"/>
                <w:szCs w:val="20"/>
              </w:rPr>
              <w:t xml:space="preserve">Технология "Вентилируемый фасад"; </w:t>
            </w:r>
            <w:r w:rsidRPr="00C27074">
              <w:rPr>
                <w:sz w:val="20"/>
                <w:szCs w:val="20"/>
              </w:rPr>
              <w:br/>
              <w:t>Реечные направляющие, изоляционные материалы, защитный слой, обшивка и др.</w:t>
            </w: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  <w:tr w:rsidR="004A4F03" w:rsidRPr="00C27074" w:rsidTr="009567EB">
        <w:trPr>
          <w:trHeight w:val="1590"/>
        </w:trPr>
        <w:tc>
          <w:tcPr>
            <w:tcW w:w="619" w:type="pct"/>
            <w:vMerge w:val="restart"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 w:val="restart"/>
            <w:shd w:val="clear" w:color="auto" w:fill="auto"/>
          </w:tcPr>
          <w:p w:rsidR="004A4F03" w:rsidRDefault="004A4F03" w:rsidP="0095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коллективного (общедомового) прибора учета тепловой энергии.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484" w:type="pct"/>
            <w:gridSpan w:val="2"/>
            <w:vMerge w:val="restart"/>
            <w:shd w:val="clear" w:color="auto" w:fill="auto"/>
          </w:tcPr>
          <w:p w:rsidR="004A4F03" w:rsidRDefault="004A4F03" w:rsidP="0095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тепловой энергии, потребляемой в многоквартирном доме.</w:t>
            </w:r>
          </w:p>
          <w:p w:rsidR="004A4F03" w:rsidRPr="00C27074" w:rsidRDefault="004A4F03" w:rsidP="0095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 тепловой энергии на подогрев холодной воды.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учета тепловой энергии, внесенный в государственный  реестр средств измерений</w:t>
            </w:r>
          </w:p>
        </w:tc>
      </w:tr>
      <w:tr w:rsidR="004A4F03" w:rsidRPr="00C27074" w:rsidTr="009567EB">
        <w:trPr>
          <w:trHeight w:val="230"/>
        </w:trPr>
        <w:tc>
          <w:tcPr>
            <w:tcW w:w="619" w:type="pct"/>
            <w:vMerge/>
            <w:shd w:val="clear" w:color="auto" w:fill="auto"/>
          </w:tcPr>
          <w:p w:rsidR="004A4F03" w:rsidRPr="00C27074" w:rsidRDefault="004A4F03" w:rsidP="009567E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:rsidR="004A4F03" w:rsidRPr="00C27074" w:rsidRDefault="004A4F03" w:rsidP="009567EB">
            <w:pPr>
              <w:rPr>
                <w:sz w:val="20"/>
                <w:szCs w:val="20"/>
              </w:rPr>
            </w:pPr>
          </w:p>
        </w:tc>
      </w:tr>
    </w:tbl>
    <w:p w:rsidR="004A4F03" w:rsidRDefault="004A4F03" w:rsidP="004A4F03">
      <w:pPr>
        <w:jc w:val="both"/>
      </w:pPr>
    </w:p>
    <w:p w:rsidR="00452DD2" w:rsidRDefault="00455C37" w:rsidP="00485BD7">
      <w:pPr>
        <w:spacing w:line="276" w:lineRule="auto"/>
        <w:ind w:firstLine="567"/>
        <w:jc w:val="both"/>
      </w:pPr>
      <w:r w:rsidRPr="00455C37">
        <w:t xml:space="preserve">Так </w:t>
      </w:r>
      <w:r>
        <w:t>же ставим Вас в известность, что согласно руководству по эксплуатации, порядку ведения документации (методика осуществления коммерческого учета тепловой энергии, теплоносителя (утв.Приказом Минстро</w:t>
      </w:r>
      <w:r w:rsidR="009C7130">
        <w:t>я от 17.03.2014г. №99/пр, зареги</w:t>
      </w:r>
      <w:r>
        <w:t>стрирован в Минюсте 12.09.</w:t>
      </w:r>
      <w:r w:rsidR="009C7130">
        <w:t>14г. рег.№34040)</w:t>
      </w:r>
      <w:r w:rsidR="000A5E8D">
        <w:t xml:space="preserve">, Постановления Правительства РФ от 06.05.2011г. №354 </w:t>
      </w:r>
      <w:r w:rsidR="00597321" w:rsidRPr="00A432FB">
        <w:t>"О предоставлении коммунальных услуг собственникам и пользователям помещений в многоквартирных домах и жилых домов"</w:t>
      </w:r>
      <w:r w:rsidR="00597321">
        <w:t xml:space="preserve"> (далее Правила №354) при наличии коллективного (общедомового) прибора учета теплоэнергии обслуживающий персонал обязан ежедневно производить съем текущих значений параметров с их регистрацией в установленной форме, ежемесячно снимать </w:t>
      </w:r>
      <w:r w:rsidR="00792653">
        <w:t xml:space="preserve">показания такого прибора учета в период с 23-го по 25-е число текущего месяца для предъявления в энергоснабжающую организацию , обеспечить сохранность информации о показаниях коллективных (общедомовых), индивидуальных, общих (квартирных)  приборов учета в течении не менее 3-х лет. </w:t>
      </w:r>
    </w:p>
    <w:p w:rsidR="003B5D3E" w:rsidRDefault="00356889" w:rsidP="00485BD7">
      <w:pPr>
        <w:spacing w:line="276" w:lineRule="auto"/>
        <w:ind w:firstLine="567"/>
        <w:jc w:val="both"/>
        <w:rPr>
          <w:i/>
        </w:rPr>
      </w:pPr>
      <w:r>
        <w:t>Согласно п.59 Правил №354 в случае непредставления</w:t>
      </w:r>
      <w:r w:rsidR="006915EF">
        <w:t xml:space="preserve"> показаний приборов учета тепловой энергии в установленные законом сроки плата на коммунальную услугу, предоставленную потребителю в жилом помещении МКД, будет определена  «</w:t>
      </w:r>
      <w:r w:rsidR="006915EF" w:rsidRPr="006915EF">
        <w:rPr>
          <w:i/>
        </w:rPr>
        <w:t>исходя из рассчитан</w:t>
      </w:r>
      <w:r w:rsidR="00BA7053">
        <w:rPr>
          <w:i/>
        </w:rPr>
        <w:t>н</w:t>
      </w:r>
      <w:r w:rsidR="006915EF" w:rsidRPr="006915EF">
        <w:rPr>
          <w:i/>
        </w:rPr>
        <w:t>ого</w:t>
      </w:r>
      <w:r w:rsidR="00816D38">
        <w:rPr>
          <w:i/>
        </w:rPr>
        <w:t xml:space="preserve"> среднемесячного объема потребления коммунального ресурса потребителем, определенного по показаниям прибора учета за период</w:t>
      </w:r>
      <w:r w:rsidR="00045CA2">
        <w:rPr>
          <w:i/>
        </w:rPr>
        <w:t xml:space="preserve"> не менее 6 месяцев (для отопления – исходя из среднемесячного за отопительный период объема </w:t>
      </w:r>
      <w:r w:rsidR="00BA7053">
        <w:rPr>
          <w:i/>
        </w:rPr>
        <w:t>потреб</w:t>
      </w:r>
      <w:r w:rsidR="00045CA2">
        <w:rPr>
          <w:i/>
        </w:rPr>
        <w:t>ления), а если период работы прибора учета составил меньше 6 месяцев, - то за фактический период работы прибора учета, но не менее 3 месяц</w:t>
      </w:r>
      <w:r w:rsidR="00BA7053">
        <w:rPr>
          <w:i/>
        </w:rPr>
        <w:t>ев</w:t>
      </w:r>
      <w:r w:rsidR="00045CA2">
        <w:rPr>
          <w:i/>
        </w:rPr>
        <w:t xml:space="preserve"> (для отопления  - не менее</w:t>
      </w:r>
      <w:r w:rsidR="005D1DD3">
        <w:rPr>
          <w:i/>
        </w:rPr>
        <w:t xml:space="preserve"> 3 месяцев отопительного периода)». </w:t>
      </w:r>
    </w:p>
    <w:p w:rsidR="00597321" w:rsidRDefault="00597321" w:rsidP="00485BD7">
      <w:pPr>
        <w:spacing w:after="200" w:line="276" w:lineRule="auto"/>
        <w:jc w:val="both"/>
      </w:pPr>
    </w:p>
    <w:p w:rsidR="00597321" w:rsidRDefault="00597321" w:rsidP="00597321">
      <w:pPr>
        <w:spacing w:after="200" w:line="276" w:lineRule="auto"/>
      </w:pPr>
    </w:p>
    <w:p w:rsidR="00597321" w:rsidRDefault="00597321">
      <w:pPr>
        <w:spacing w:after="200" w:line="276" w:lineRule="auto"/>
        <w:rPr>
          <w:sz w:val="32"/>
        </w:rPr>
      </w:pPr>
    </w:p>
    <w:sectPr w:rsidR="0059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2A"/>
    <w:multiLevelType w:val="hybridMultilevel"/>
    <w:tmpl w:val="9F9820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5"/>
    <w:rsid w:val="00002001"/>
    <w:rsid w:val="00045CA2"/>
    <w:rsid w:val="000528AB"/>
    <w:rsid w:val="00056EAA"/>
    <w:rsid w:val="000873DA"/>
    <w:rsid w:val="00096618"/>
    <w:rsid w:val="000A5E8D"/>
    <w:rsid w:val="000D0B8B"/>
    <w:rsid w:val="000E0843"/>
    <w:rsid w:val="00102170"/>
    <w:rsid w:val="00104ED4"/>
    <w:rsid w:val="00115400"/>
    <w:rsid w:val="00123924"/>
    <w:rsid w:val="001251AE"/>
    <w:rsid w:val="00151CE2"/>
    <w:rsid w:val="00172CE6"/>
    <w:rsid w:val="00182A64"/>
    <w:rsid w:val="00186AED"/>
    <w:rsid w:val="001A276F"/>
    <w:rsid w:val="001C4853"/>
    <w:rsid w:val="001D6178"/>
    <w:rsid w:val="001E3269"/>
    <w:rsid w:val="00210728"/>
    <w:rsid w:val="00215FBC"/>
    <w:rsid w:val="00256FC8"/>
    <w:rsid w:val="0026059E"/>
    <w:rsid w:val="00263B6B"/>
    <w:rsid w:val="002645AC"/>
    <w:rsid w:val="00272ABD"/>
    <w:rsid w:val="00296CA1"/>
    <w:rsid w:val="002E02EE"/>
    <w:rsid w:val="002E1181"/>
    <w:rsid w:val="00322A50"/>
    <w:rsid w:val="00342FD9"/>
    <w:rsid w:val="003506B3"/>
    <w:rsid w:val="00356889"/>
    <w:rsid w:val="00361261"/>
    <w:rsid w:val="0036798A"/>
    <w:rsid w:val="00381506"/>
    <w:rsid w:val="00381F54"/>
    <w:rsid w:val="003A2F52"/>
    <w:rsid w:val="003A2FA8"/>
    <w:rsid w:val="003B5D3E"/>
    <w:rsid w:val="003E34AE"/>
    <w:rsid w:val="003F05D2"/>
    <w:rsid w:val="003F1174"/>
    <w:rsid w:val="003F5120"/>
    <w:rsid w:val="004042E2"/>
    <w:rsid w:val="00424BFE"/>
    <w:rsid w:val="00425D38"/>
    <w:rsid w:val="0042715F"/>
    <w:rsid w:val="0043035A"/>
    <w:rsid w:val="00452DD2"/>
    <w:rsid w:val="00455C37"/>
    <w:rsid w:val="00485BD7"/>
    <w:rsid w:val="004A4F03"/>
    <w:rsid w:val="004B087F"/>
    <w:rsid w:val="004E6E08"/>
    <w:rsid w:val="00535917"/>
    <w:rsid w:val="00542AE9"/>
    <w:rsid w:val="00547682"/>
    <w:rsid w:val="00550736"/>
    <w:rsid w:val="00564572"/>
    <w:rsid w:val="00574A1E"/>
    <w:rsid w:val="005765BD"/>
    <w:rsid w:val="00597321"/>
    <w:rsid w:val="005A39D7"/>
    <w:rsid w:val="005A4B58"/>
    <w:rsid w:val="005B0E8A"/>
    <w:rsid w:val="005B3604"/>
    <w:rsid w:val="005B76C1"/>
    <w:rsid w:val="005D1DD3"/>
    <w:rsid w:val="005D6CBC"/>
    <w:rsid w:val="00601C2E"/>
    <w:rsid w:val="00615D75"/>
    <w:rsid w:val="00616714"/>
    <w:rsid w:val="006416AA"/>
    <w:rsid w:val="00644CD5"/>
    <w:rsid w:val="0065258E"/>
    <w:rsid w:val="00655A75"/>
    <w:rsid w:val="0066005E"/>
    <w:rsid w:val="00664E74"/>
    <w:rsid w:val="006745D6"/>
    <w:rsid w:val="00674718"/>
    <w:rsid w:val="0067744D"/>
    <w:rsid w:val="00683B9B"/>
    <w:rsid w:val="00684AB6"/>
    <w:rsid w:val="00690951"/>
    <w:rsid w:val="006915EF"/>
    <w:rsid w:val="00694788"/>
    <w:rsid w:val="00697986"/>
    <w:rsid w:val="006C28C5"/>
    <w:rsid w:val="006D189D"/>
    <w:rsid w:val="006D1D4C"/>
    <w:rsid w:val="006D4C4D"/>
    <w:rsid w:val="006E6234"/>
    <w:rsid w:val="006E79E8"/>
    <w:rsid w:val="006E7F27"/>
    <w:rsid w:val="006F6999"/>
    <w:rsid w:val="007051DF"/>
    <w:rsid w:val="007103F1"/>
    <w:rsid w:val="007440F3"/>
    <w:rsid w:val="0075288B"/>
    <w:rsid w:val="00755DFE"/>
    <w:rsid w:val="00764BDF"/>
    <w:rsid w:val="0078339B"/>
    <w:rsid w:val="00792653"/>
    <w:rsid w:val="00795BAA"/>
    <w:rsid w:val="007A0213"/>
    <w:rsid w:val="007B49AA"/>
    <w:rsid w:val="007D32DD"/>
    <w:rsid w:val="007E4A1A"/>
    <w:rsid w:val="007F22B8"/>
    <w:rsid w:val="008056EB"/>
    <w:rsid w:val="00816D38"/>
    <w:rsid w:val="00821DDA"/>
    <w:rsid w:val="008223A1"/>
    <w:rsid w:val="0084023B"/>
    <w:rsid w:val="00843FBE"/>
    <w:rsid w:val="0085092A"/>
    <w:rsid w:val="008730E3"/>
    <w:rsid w:val="008905D6"/>
    <w:rsid w:val="008A2271"/>
    <w:rsid w:val="008C56F2"/>
    <w:rsid w:val="008D4BE9"/>
    <w:rsid w:val="00904A34"/>
    <w:rsid w:val="00904FF3"/>
    <w:rsid w:val="00906870"/>
    <w:rsid w:val="009125D6"/>
    <w:rsid w:val="00916B13"/>
    <w:rsid w:val="00930A7F"/>
    <w:rsid w:val="00931674"/>
    <w:rsid w:val="0094574B"/>
    <w:rsid w:val="009567EB"/>
    <w:rsid w:val="00962BD3"/>
    <w:rsid w:val="00965380"/>
    <w:rsid w:val="00981FBC"/>
    <w:rsid w:val="009A6E6E"/>
    <w:rsid w:val="009C0DFB"/>
    <w:rsid w:val="009C7130"/>
    <w:rsid w:val="009E7F0F"/>
    <w:rsid w:val="009F0428"/>
    <w:rsid w:val="009F30AC"/>
    <w:rsid w:val="009F43C2"/>
    <w:rsid w:val="00A17A23"/>
    <w:rsid w:val="00A54BD0"/>
    <w:rsid w:val="00A65872"/>
    <w:rsid w:val="00A8055E"/>
    <w:rsid w:val="00A81C02"/>
    <w:rsid w:val="00A84DC7"/>
    <w:rsid w:val="00A92DC7"/>
    <w:rsid w:val="00AB2D62"/>
    <w:rsid w:val="00AC529F"/>
    <w:rsid w:val="00AC714D"/>
    <w:rsid w:val="00B0398B"/>
    <w:rsid w:val="00B32D2C"/>
    <w:rsid w:val="00B9233A"/>
    <w:rsid w:val="00BA7053"/>
    <w:rsid w:val="00BC0CE8"/>
    <w:rsid w:val="00BC3081"/>
    <w:rsid w:val="00BC33A2"/>
    <w:rsid w:val="00BC5D5C"/>
    <w:rsid w:val="00BD2B6E"/>
    <w:rsid w:val="00BD4759"/>
    <w:rsid w:val="00BD5BC9"/>
    <w:rsid w:val="00C13938"/>
    <w:rsid w:val="00C4049B"/>
    <w:rsid w:val="00C427BA"/>
    <w:rsid w:val="00C60C40"/>
    <w:rsid w:val="00C70B43"/>
    <w:rsid w:val="00C73BA7"/>
    <w:rsid w:val="00C757F1"/>
    <w:rsid w:val="00C77A4F"/>
    <w:rsid w:val="00C83A5A"/>
    <w:rsid w:val="00C92E36"/>
    <w:rsid w:val="00CB1C8F"/>
    <w:rsid w:val="00CB2AA4"/>
    <w:rsid w:val="00CD0954"/>
    <w:rsid w:val="00CD1411"/>
    <w:rsid w:val="00CE0477"/>
    <w:rsid w:val="00D14210"/>
    <w:rsid w:val="00D615A4"/>
    <w:rsid w:val="00D61F35"/>
    <w:rsid w:val="00DB0C85"/>
    <w:rsid w:val="00DB1050"/>
    <w:rsid w:val="00DC0706"/>
    <w:rsid w:val="00DC19FC"/>
    <w:rsid w:val="00DD7E0B"/>
    <w:rsid w:val="00DE2AC4"/>
    <w:rsid w:val="00DF33E8"/>
    <w:rsid w:val="00E1734E"/>
    <w:rsid w:val="00E2312A"/>
    <w:rsid w:val="00E31C5C"/>
    <w:rsid w:val="00E372FB"/>
    <w:rsid w:val="00E40953"/>
    <w:rsid w:val="00E60DD8"/>
    <w:rsid w:val="00E83F2D"/>
    <w:rsid w:val="00E95DEE"/>
    <w:rsid w:val="00EB10A1"/>
    <w:rsid w:val="00EC3164"/>
    <w:rsid w:val="00F267E5"/>
    <w:rsid w:val="00F50F39"/>
    <w:rsid w:val="00F51C7F"/>
    <w:rsid w:val="00F66B86"/>
    <w:rsid w:val="00F8383F"/>
    <w:rsid w:val="00F96269"/>
    <w:rsid w:val="00F967CD"/>
    <w:rsid w:val="00F97B14"/>
    <w:rsid w:val="00FA02F0"/>
    <w:rsid w:val="00FA130A"/>
    <w:rsid w:val="00FA2B7B"/>
    <w:rsid w:val="00FA51A9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B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Emphasis"/>
    <w:qFormat/>
    <w:rsid w:val="00795BAA"/>
    <w:rPr>
      <w:b/>
      <w:bCs/>
      <w:i/>
      <w:iCs/>
      <w:color w:val="4F81BD"/>
    </w:rPr>
  </w:style>
  <w:style w:type="paragraph" w:customStyle="1" w:styleId="ConsPlusTitle">
    <w:name w:val="ConsPlusTitle"/>
    <w:uiPriority w:val="99"/>
    <w:rsid w:val="00795B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"/>
    <w:basedOn w:val="a"/>
    <w:rsid w:val="00664E7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5B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Emphasis"/>
    <w:qFormat/>
    <w:rsid w:val="00795BAA"/>
    <w:rPr>
      <w:b/>
      <w:bCs/>
      <w:i/>
      <w:iCs/>
      <w:color w:val="4F81BD"/>
    </w:rPr>
  </w:style>
  <w:style w:type="paragraph" w:customStyle="1" w:styleId="ConsPlusTitle">
    <w:name w:val="ConsPlusTitle"/>
    <w:uiPriority w:val="99"/>
    <w:rsid w:val="00795B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"/>
    <w:basedOn w:val="a"/>
    <w:rsid w:val="00664E7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2016-05-24T23:31:00Z</cp:lastPrinted>
  <dcterms:created xsi:type="dcterms:W3CDTF">2016-05-27T03:23:00Z</dcterms:created>
  <dcterms:modified xsi:type="dcterms:W3CDTF">2016-05-27T03:23:00Z</dcterms:modified>
</cp:coreProperties>
</file>